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关于明确生活性服务业增值税加计抵减政策的公告</w:t>
      </w:r>
    </w:p>
    <w:p>
      <w:pPr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/>
          <w:b w:val="0"/>
          <w:bCs w:val="0"/>
          <w:sz w:val="18"/>
          <w:szCs w:val="18"/>
        </w:rPr>
        <w:t>财政部 税务总局公告2019年第87号</w:t>
      </w: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现就</w:t>
      </w:r>
      <w:r>
        <w:rPr>
          <w:rFonts w:hint="eastAsia"/>
          <w:b w:val="0"/>
          <w:bCs w:val="0"/>
          <w:sz w:val="21"/>
          <w:szCs w:val="21"/>
        </w:rPr>
        <w:t>生活性服务业增值税加计抵减有关政策公告如下：</w:t>
      </w: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一、2019年10月1日至2021年12月31日，允许生活性服务业纳税人按照当期可抵扣进项税额加计15%，抵减应纳税额（以下称加计抵减15%政策）。</w:t>
      </w: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二、本公告所称生活性服务业纳税人，是指提供生活服务取得的销售额占全部销售额的比重超过50%的纳税人。生活服务的具体范围按照《销售服务、无形资产、不动产注释》（财税〔2016〕36号印发）执行。</w:t>
      </w:r>
    </w:p>
    <w:p>
      <w:pPr>
        <w:spacing w:line="360" w:lineRule="auto"/>
        <w:ind w:firstLine="420" w:firstLineChars="200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2019年9月30日前设立的纳税人，自2018年10月至2019年9月期间的销售额（经营期不满12个月的，按照实际经营期的销售额）符合上述规定条件的，自2019年10月1日起适用加计抵减15%政策。</w:t>
      </w:r>
    </w:p>
    <w:p>
      <w:pPr>
        <w:spacing w:line="360" w:lineRule="auto"/>
        <w:ind w:firstLine="420" w:firstLineChars="200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2019年10月1日后设立的纳税人，自设立之日起3个月的销售额符合上述规定条件的，自登记为一般纳税人之日起适用加计抵减15%政策。</w:t>
      </w:r>
    </w:p>
    <w:p>
      <w:pPr>
        <w:spacing w:line="360" w:lineRule="auto"/>
        <w:ind w:firstLine="420" w:firstLineChars="200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纳税人确定适用加计抵减15%政策后，当年内不再调整，以后年度是否适用，根据上年度销售额计算确定。</w:t>
      </w: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三、生活性服务业纳税人应按照当期可抵扣进项税额的15%计提当期加计抵减额。按照现行规定不得从销项税额中抵扣的进项税额，不得计提加计抵减额；已按照15%计提加计抵减额的进项税额，按规定作进项税额转出的，应在进项税额转出当期，相应调减加计抵减额。计算公式如下：</w:t>
      </w: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当期计提加计抵减额=当期可抵扣进项税额×15%</w:t>
      </w: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当期可抵减加计抵减额=上期末加计抵减额余额+当期计提加计抵减额-当期调减加计抵减额</w:t>
      </w: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四、纳税人适用加计抵减政策的其他有关事项，按照《关于深化增值税改革有关政策的公告》（财政部 税务总局 海关总署公告2019年第39号）等有关规定执行。</w:t>
      </w: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特此公告。</w:t>
      </w:r>
    </w:p>
    <w:p>
      <w:pPr>
        <w:spacing w:line="360" w:lineRule="auto"/>
        <w:jc w:val="righ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财政部 税务总局</w:t>
      </w:r>
    </w:p>
    <w:p>
      <w:pPr>
        <w:spacing w:line="360" w:lineRule="auto"/>
        <w:jc w:val="righ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2019年9月30日</w:t>
      </w:r>
    </w:p>
    <w:p>
      <w:pPr>
        <w:spacing w:line="360" w:lineRule="auto"/>
        <w:jc w:val="both"/>
        <w:rPr>
          <w:rFonts w:hint="eastAsia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7177004"/>
    <w:rsid w:val="7736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论文-一级标题"/>
    <w:basedOn w:val="2"/>
    <w:uiPriority w:val="0"/>
    <w:pPr>
      <w:spacing w:before="10" w:after="0"/>
    </w:pPr>
    <w:rPr>
      <w:rFonts w:ascii="Cambria" w:hAnsi="Cambria"/>
      <w:bCs/>
      <w:color w:val="00000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WPS_1516110115</dc:creator>
  <cp:lastModifiedBy>Spring.</cp:lastModifiedBy>
  <dcterms:modified xsi:type="dcterms:W3CDTF">2019-12-03T10:10:52Z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